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2022 3 vom 29. April 2022</w:t>
      </w:r>
    </w:p>
    <w:p>
      <w:r>
        <w:t>GR Gerichte, 2022-04-29, DE</w:t>
      </w:r>
    </w:p>
    <w:p>
      <w:r>
        <w:rPr>
          <w:b/>
        </w:rPr>
        <w:t xml:space="preserve">Quelle: </w:t>
      </w:r>
      <w:r>
        <w:t>https://mcp.opencaselaw.ch/entscheid/gr_gerichte_PKG 2022 3</w:t>
      </w:r>
    </w:p>
    <w:p>
      <w:r>
        <w:t>FR: GR_GERICHTE PKG 2022 3 du 29 avril 2022</w:t>
      </w:r>
    </w:p>
    <w:p>
      <w:r>
        <w:t>IT: GR_GERICHTE PKG 2022 3 del 29 aprile 2022</w:t>
      </w:r>
    </w:p>
    <w:p>
      <w:pPr>
        <w:pStyle w:val="Heading2"/>
      </w:pPr>
      <w:r>
        <w:t>Erwägungen</w:t>
      </w:r>
    </w:p>
    <w:p>
      <w:r>
        <w:rPr>
          <w:b/>
        </w:rPr>
        <w:t>E. 1</w:t>
      </w:r>
    </w:p>
    <w:p>
      <w:r>
        <w:t>/ 4 Praxis Kantonsgericht 2022</w:t>
      </w:r>
    </w:p>
    <w:p>
      <w:r>
        <w:rPr>
          <w:b/>
        </w:rPr>
        <w:t>E. 3</w:t>
      </w:r>
    </w:p>
    <w:p>
      <w:r>
        <w:t>/ 4 (vgl. Art. 8 Abs. 1 AnwG). Rechtspraktikantinnen und Rechtspraktikanten sollen während ihres Praktikums einen möglichst umfassenden Einblick in den Anwaltsberuf erhalten, namentlich auch in die Führung von amtlichen Mandaten, zu deren Übernahme Rechtsanwältinnen und Rechtsanwälte von Berufs wegen verpflichtet sind (vgl. Art. 12 lit. g BGFA). Es muss daher mög- lich sein, dass eine als unentgeltliche Rechtsbeiständin eingesetzte Rechtsanwältin im Rahmen des amtlichen Mandats ihren Rechtspraktikanten beizieht, solange sie die Aufsicht über des- sen Arbeiten behält. Nicht zulässig ist, dass eine Rechtsanwältin sich als unentgeltliche Rechts- beiständin einsetzen lässt, die ganze Mandatsführung aber ihrem Praktikanten überlässt. Dies käme der Einsetzung des Rechtspraktikanten als unentgeltlicher Rechtsbeistand gleich, was im Hinblick auf den vom Anwaltsrecht bezweckten Schutz des rechtsuchenden Publikums un- erwünscht ist (vgl. Bühler, a.a.O., N 61 zu Art. 118 ZPO; Wuffli/Fuhrer, a.a.O., Rz. 525). So be- tont auch das Bundesgericht, dass die Rechtspraktikantenbewilligung dem Rechtsanwaltspa- tent "in keiner Weise" gleichzusetzen ist. Die Bewilligung wird erteilt, um dem Praktikanten zu ermöglichen, die Ausbildung als Rechtsanwalt abzuschliessen und über-haupt erst zur Prüfung zugelassen zu werden, nach deren (allfälligem) Bestehen er den Fähigkeitsausweis (das Rechtsanwaltspatent) erwirbt. Der Praktikant darf nicht selbständig, sondern nur unter der Verantwortung einer patentierten Rechtsanwältin, bei der er angestellt ist, die Anwaltstätig- keit ausüben (BGE 125 II 315 E. 2b/bb). Dem hat die als unentgeltliche Rechtsbeiständin ein- gesetzte Rechtsanwältin bei der Mandatsführung in jedem Fall Rechnung zu tragen. 5.6. Vor diesem Hintergrund ist es nicht zulässig, die staatliche Entschädigung der unentgelt- lichen Rechtsvertretung um jenen Aufwand zu kürzen, den ihr Rechtspraktikant im Rahmen der unentgeltlichen Vertretung geleistet hat. Dieser Aufwand ist vielmehr, soweit er notwen- dig ist, zu CHF 150.00 pro Stunde zu entschädigen (Art. 5 Abs. 1 i.V.m. Art. 6 HV). Was den hier zur Beurteilung stehenden Fall betrifft, ist freilich festzuhalten, dass der Beschwerdeführer 2 in seiner Honorarnote, die er der Vorinstanz einreichte (RG act. VII/2), nicht explizit darauf hinwies, dass es sich bei den aufgeführten 3.0833 Stunden à CHF 150.00 um Aufwand seiner Rechtspraktikantin handelt. Auch in der detaillierten Zusammenstellung, die der Honorarnote beigelegt ist, finden sich keine entsprechenden Hinweise. Erst in der Beschwerde stellte der Beschwerdeführer 2 klar, dass es sich bei diesen Stunden um Praktikantenaufwand handelt (vgl. act. A.1a Rz. III.9). Grundsätzlich ist es Sache der unentgeltlichen Rechtsvertretung, dem Gericht schlüssig darzulegen, welcher Aufwand nicht von ihr, sondern von einem Rechtsprak- tikanten geleistet wurde, will sie diesen Aufwand ebenfalls entschädigt haben. Im vorliegen- den Fall erweist sich die eingereichte Honorarnote noch als genügend, lässt sich doch aus den separat ausgewiesenen Stunden zu CHF 200.00 und zu CHF 150.00 zusammen mit der Rege- lung des Stundenansatzes in der Honorarverordnung (Art. 5 Abs. 1 i.V.m. Art. 6 HV) nach Treu und Glauben darauf schliessen, dass die zu CHF 150.00 aufgeführten Stunden von einem</w:t>
      </w:r>
    </w:p>
    <w:p>
      <w:r>
        <w:t>PKG 2022</w:t>
      </w:r>
    </w:p>
    <w:p>
      <w:r>
        <w:rPr>
          <w:b/>
        </w:rPr>
        <w:t>E. 4</w:t>
      </w:r>
    </w:p>
    <w:p>
      <w:r>
        <w:t>/ 4 Rechtspraktikanten geleistet wurden. Allerdings fällt – wie bereits ausgeführt (oben E. 3.4) – in der detaillierten Zusammenstellung auf, dass der Beschwerdeführer 2 einzelne Positionen, die der Rechtspraktikantin zugeordnet sind (Kürzel "yz" für MLaw Z._____), nicht zu CHF 150.00, sondern zu CHF 200.00 in Rechnung stellte. Dies betrifft Aufwandpositionen von insgesamt 3.75 Stunden. Das vom Beschwerdeführer 2 geltend gemachte Honorar von CHF 2'395.83 ist somit um CHF 187.50 auf CHF 2'208.33 zu kürzen, was zusammen mit der Spesenpauschale (3 %) und der Mehrwertsteuer (7.7 %) eine staatliche Entschädigung von CHF 2'449.70 ergibt. […] ZK1 21 53 Urteil vom 4. Februar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